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DBEC7" w14:textId="77777777" w:rsidR="00280232" w:rsidRPr="001A38BF" w:rsidRDefault="00280232" w:rsidP="00280232">
      <w:pPr>
        <w:pStyle w:val="Heading2"/>
        <w:rPr>
          <w:rFonts w:ascii="Barlow" w:hAnsi="Barlow"/>
          <w:color w:val="FF3300"/>
          <w:lang w:val="en-US"/>
        </w:rPr>
      </w:pPr>
      <w:bookmarkStart w:id="0" w:name="_Toc125290705"/>
      <w:r w:rsidRPr="001A38BF">
        <w:rPr>
          <w:rFonts w:ascii="Barlow" w:hAnsi="Barlow"/>
          <w:color w:val="FF3300"/>
          <w:lang w:val="en-US"/>
        </w:rPr>
        <w:t>Interview Instructions</w:t>
      </w:r>
      <w:bookmarkEnd w:id="0"/>
    </w:p>
    <w:p w14:paraId="3E3CD499" w14:textId="77777777" w:rsidR="00280232" w:rsidRPr="00A50B60" w:rsidRDefault="00280232" w:rsidP="00280232">
      <w:pPr>
        <w:spacing w:after="0" w:line="240" w:lineRule="auto"/>
        <w:rPr>
          <w:sz w:val="24"/>
          <w:szCs w:val="24"/>
        </w:rPr>
      </w:pPr>
    </w:p>
    <w:p w14:paraId="3EB4D889" w14:textId="77777777" w:rsidR="00280232" w:rsidRPr="001A38BF" w:rsidRDefault="00280232" w:rsidP="00280232">
      <w:pPr>
        <w:spacing w:after="0" w:line="240" w:lineRule="auto"/>
        <w:rPr>
          <w:rFonts w:ascii="Barlow" w:hAnsi="Barlow"/>
          <w:i/>
          <w:sz w:val="24"/>
          <w:szCs w:val="24"/>
        </w:rPr>
      </w:pPr>
      <w:r w:rsidRPr="001A38BF">
        <w:rPr>
          <w:rFonts w:ascii="Barlow" w:hAnsi="Barlow"/>
          <w:i/>
          <w:sz w:val="24"/>
          <w:szCs w:val="24"/>
        </w:rPr>
        <w:t>The following interview records are provided by Partnerships and are for optional use. AMHSA recommends reviewing the questions and guidelines included in the Audit Workbook before conducting your interviews to ensure you capture the necessary information for your report writing.</w:t>
      </w:r>
    </w:p>
    <w:p w14:paraId="3AE3C946" w14:textId="77777777" w:rsidR="00280232" w:rsidRPr="001A38BF" w:rsidRDefault="00280232" w:rsidP="00280232">
      <w:pPr>
        <w:pStyle w:val="Heading2"/>
        <w:rPr>
          <w:rFonts w:ascii="Barlow" w:hAnsi="Barlow"/>
          <w:sz w:val="24"/>
          <w:szCs w:val="24"/>
        </w:rPr>
      </w:pPr>
    </w:p>
    <w:p w14:paraId="4FAD6389"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 xml:space="preserve">If using the printed interview record forms, the following instructions should be followed. They are designed so that a minimal amount of writing is required. </w:t>
      </w:r>
    </w:p>
    <w:p w14:paraId="49D06832" w14:textId="77777777" w:rsidR="00280232" w:rsidRPr="001A38BF" w:rsidRDefault="00280232" w:rsidP="00280232">
      <w:pPr>
        <w:spacing w:after="0" w:line="240" w:lineRule="auto"/>
        <w:rPr>
          <w:rFonts w:ascii="Barlow" w:hAnsi="Barlow"/>
          <w:sz w:val="24"/>
          <w:szCs w:val="24"/>
        </w:rPr>
      </w:pPr>
    </w:p>
    <w:p w14:paraId="5B3A0F71" w14:textId="77777777" w:rsidR="00280232" w:rsidRPr="001A38BF" w:rsidRDefault="00280232" w:rsidP="00280232">
      <w:pPr>
        <w:spacing w:after="0" w:line="240" w:lineRule="auto"/>
        <w:rPr>
          <w:rFonts w:ascii="Barlow" w:hAnsi="Barlow"/>
          <w:sz w:val="24"/>
          <w:szCs w:val="24"/>
        </w:rPr>
      </w:pPr>
      <w:r w:rsidRPr="001A38BF">
        <w:rPr>
          <w:rFonts w:ascii="Barlow" w:hAnsi="Barlow"/>
          <w:i/>
          <w:sz w:val="24"/>
          <w:szCs w:val="24"/>
        </w:rPr>
        <w:t xml:space="preserve">Non-committal responses are counted as a negative, or a "no," when calculating response rates for each question. </w:t>
      </w:r>
      <w:r w:rsidRPr="001A38BF">
        <w:rPr>
          <w:rFonts w:ascii="Barlow" w:hAnsi="Barlow"/>
          <w:b/>
          <w:i/>
          <w:sz w:val="24"/>
          <w:szCs w:val="24"/>
        </w:rPr>
        <w:t>Only consider a response to be not applicable (N/A) when the question itself does not apply to the individual being interviewed.</w:t>
      </w:r>
      <w:r w:rsidRPr="001A38BF">
        <w:rPr>
          <w:rFonts w:ascii="Barlow" w:hAnsi="Barlow"/>
          <w:b/>
          <w:sz w:val="24"/>
          <w:szCs w:val="24"/>
        </w:rPr>
        <w:t xml:space="preserve"> </w:t>
      </w:r>
    </w:p>
    <w:p w14:paraId="5D6F549D" w14:textId="77777777" w:rsidR="00280232" w:rsidRDefault="00280232" w:rsidP="00280232">
      <w:pPr>
        <w:spacing w:after="0" w:line="240" w:lineRule="auto"/>
        <w:rPr>
          <w:sz w:val="24"/>
          <w:szCs w:val="24"/>
        </w:rPr>
      </w:pPr>
    </w:p>
    <w:p w14:paraId="130E00D3" w14:textId="77777777" w:rsidR="00280232" w:rsidRPr="00A50B60" w:rsidRDefault="00280232" w:rsidP="00280232">
      <w:pPr>
        <w:spacing w:after="0" w:line="240" w:lineRule="auto"/>
        <w:rPr>
          <w:sz w:val="24"/>
          <w:szCs w:val="24"/>
        </w:rPr>
      </w:pPr>
    </w:p>
    <w:p w14:paraId="1B4266D0" w14:textId="77777777" w:rsidR="00280232" w:rsidRPr="001A38BF" w:rsidRDefault="00280232" w:rsidP="00280232">
      <w:pPr>
        <w:pStyle w:val="Text"/>
        <w:rPr>
          <w:rFonts w:ascii="Barlow" w:hAnsi="Barlow"/>
          <w:b/>
          <w:sz w:val="28"/>
        </w:rPr>
      </w:pPr>
      <w:r w:rsidRPr="001A38BF">
        <w:rPr>
          <w:rFonts w:ascii="Barlow" w:hAnsi="Barlow"/>
          <w:b/>
          <w:sz w:val="28"/>
        </w:rPr>
        <w:t>Steps</w:t>
      </w:r>
    </w:p>
    <w:p w14:paraId="5D6EE9F7" w14:textId="77777777" w:rsidR="00280232" w:rsidRPr="001A38BF" w:rsidRDefault="00280232" w:rsidP="00280232">
      <w:pPr>
        <w:pStyle w:val="Text"/>
        <w:rPr>
          <w:rFonts w:ascii="Barlow" w:hAnsi="Barlow"/>
          <w:b/>
          <w:sz w:val="28"/>
        </w:rPr>
      </w:pPr>
    </w:p>
    <w:p w14:paraId="03128F9C" w14:textId="77777777" w:rsidR="00280232" w:rsidRPr="001A38BF" w:rsidRDefault="00280232" w:rsidP="00280232">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Introduce and explain the interview process and purpose to the interviewee.</w:t>
      </w:r>
    </w:p>
    <w:p w14:paraId="7A1C1634" w14:textId="77777777" w:rsidR="00280232" w:rsidRPr="001A38BF" w:rsidRDefault="00280232" w:rsidP="00280232">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Discuss some of the interviewee’s background information, so that questions can be asked in a manner that relates to the individual's job. Make key word notes in the “Background Information” space.</w:t>
      </w:r>
    </w:p>
    <w:p w14:paraId="228CD47D" w14:textId="77777777" w:rsidR="00280232" w:rsidRPr="001A38BF" w:rsidRDefault="00280232" w:rsidP="00280232">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Ask the questions on the form. Re-word them if needed. Expand on them if you didn’t get enough information. Record key words and comments in the space under the question.</w:t>
      </w:r>
    </w:p>
    <w:p w14:paraId="0FC072BD" w14:textId="77777777" w:rsidR="00280232" w:rsidRPr="001A38BF" w:rsidRDefault="00280232" w:rsidP="00280232">
      <w:pPr>
        <w:pStyle w:val="ListParagraph"/>
        <w:numPr>
          <w:ilvl w:val="0"/>
          <w:numId w:val="1"/>
        </w:numPr>
        <w:spacing w:after="0" w:line="240" w:lineRule="auto"/>
        <w:ind w:left="426" w:hanging="426"/>
        <w:rPr>
          <w:rFonts w:ascii="Barlow" w:hAnsi="Barlow"/>
          <w:sz w:val="24"/>
          <w:szCs w:val="24"/>
        </w:rPr>
      </w:pPr>
      <w:r w:rsidRPr="001A38BF">
        <w:rPr>
          <w:rFonts w:ascii="Barlow" w:hAnsi="Barlow"/>
          <w:sz w:val="24"/>
          <w:szCs w:val="24"/>
        </w:rPr>
        <w:t>Once the question is finished, place a “tick” mark in the space under the “RESPONSE” column that best reflects the interviewee’s answer.</w:t>
      </w:r>
    </w:p>
    <w:p w14:paraId="64FE8065"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 xml:space="preserve"> </w:t>
      </w:r>
    </w:p>
    <w:p w14:paraId="12908453"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 xml:space="preserve">Continue in this manner for </w:t>
      </w:r>
      <w:proofErr w:type="gramStart"/>
      <w:r w:rsidRPr="001A38BF">
        <w:rPr>
          <w:rFonts w:ascii="Barlow" w:hAnsi="Barlow"/>
          <w:sz w:val="24"/>
          <w:szCs w:val="24"/>
        </w:rPr>
        <w:t>all of</w:t>
      </w:r>
      <w:proofErr w:type="gramEnd"/>
      <w:r w:rsidRPr="001A38BF">
        <w:rPr>
          <w:rFonts w:ascii="Barlow" w:hAnsi="Barlow"/>
          <w:sz w:val="24"/>
          <w:szCs w:val="24"/>
        </w:rPr>
        <w:t xml:space="preserve"> the interviews. One set of interview record forms may be all that is needed to record all interview responses for an employee group (worker, supervisor, etc.). </w:t>
      </w:r>
    </w:p>
    <w:p w14:paraId="4D3131A1" w14:textId="77777777" w:rsidR="00280232" w:rsidRPr="001A38BF" w:rsidRDefault="00280232" w:rsidP="00280232">
      <w:pPr>
        <w:spacing w:after="0" w:line="240" w:lineRule="auto"/>
        <w:rPr>
          <w:rFonts w:ascii="Barlow" w:hAnsi="Barlow"/>
          <w:sz w:val="24"/>
          <w:szCs w:val="24"/>
        </w:rPr>
      </w:pPr>
    </w:p>
    <w:p w14:paraId="7349C048"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Council interviews are only conducted when the WCB account being audited includes council.</w:t>
      </w:r>
    </w:p>
    <w:p w14:paraId="6F627F57" w14:textId="77777777" w:rsidR="00280232" w:rsidRPr="001A38BF" w:rsidRDefault="00280232" w:rsidP="00280232">
      <w:pPr>
        <w:spacing w:after="0" w:line="240" w:lineRule="auto"/>
        <w:rPr>
          <w:rFonts w:ascii="Barlow" w:hAnsi="Barlow"/>
          <w:sz w:val="24"/>
          <w:szCs w:val="24"/>
        </w:rPr>
      </w:pPr>
    </w:p>
    <w:p w14:paraId="30BC301B"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 xml:space="preserve">All employee groups indicated in the audit question must be interviewed. Interview results are then combined to be able to calculate the percentage of positive responses. </w:t>
      </w:r>
      <w:proofErr w:type="gramStart"/>
      <w:r w:rsidRPr="001A38BF">
        <w:rPr>
          <w:rFonts w:ascii="Barlow" w:hAnsi="Barlow"/>
          <w:sz w:val="24"/>
          <w:szCs w:val="24"/>
        </w:rPr>
        <w:t>In order to</w:t>
      </w:r>
      <w:proofErr w:type="gramEnd"/>
      <w:r w:rsidRPr="001A38BF">
        <w:rPr>
          <w:rFonts w:ascii="Barlow" w:hAnsi="Barlow"/>
          <w:sz w:val="24"/>
          <w:szCs w:val="24"/>
        </w:rPr>
        <w:t xml:space="preserve"> achieve representative findings, interviews should not be discontinued.</w:t>
      </w:r>
    </w:p>
    <w:p w14:paraId="3E8E4D42" w14:textId="77777777" w:rsidR="00280232" w:rsidRPr="00A50B60" w:rsidRDefault="00280232" w:rsidP="00280232">
      <w:pPr>
        <w:spacing w:after="0" w:line="240" w:lineRule="auto"/>
        <w:rPr>
          <w:sz w:val="24"/>
          <w:szCs w:val="24"/>
        </w:rPr>
      </w:pPr>
    </w:p>
    <w:p w14:paraId="7436A175"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If validation of a question requires two or more employee groups (e.g., worker, supervisor) to be interviewed, combine all the +, -, and N/A responses for the applicable groups to calculate the percentage of positive responses for the audit question.</w:t>
      </w:r>
    </w:p>
    <w:p w14:paraId="6EDD0674" w14:textId="77777777" w:rsidR="00280232" w:rsidRPr="001A38BF" w:rsidRDefault="00280232" w:rsidP="00280232">
      <w:pPr>
        <w:spacing w:after="0" w:line="240" w:lineRule="auto"/>
        <w:rPr>
          <w:rFonts w:ascii="Barlow" w:hAnsi="Barlow"/>
          <w:sz w:val="24"/>
          <w:szCs w:val="24"/>
        </w:rPr>
      </w:pPr>
    </w:p>
    <w:p w14:paraId="304D8135"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Remember – All interview records are completely confidential. Destroy the records once the report is completed and approved by AMHSA.</w:t>
      </w:r>
    </w:p>
    <w:p w14:paraId="2862ABD7" w14:textId="77777777" w:rsidR="00280232" w:rsidRPr="001A38BF" w:rsidRDefault="00280232" w:rsidP="00280232">
      <w:pPr>
        <w:pStyle w:val="Text"/>
        <w:rPr>
          <w:rFonts w:ascii="Barlow" w:hAnsi="Barlow"/>
          <w:b/>
        </w:rPr>
      </w:pPr>
      <w:r>
        <w:rPr>
          <w:lang w:val="en-US"/>
        </w:rPr>
        <w:br w:type="page"/>
      </w:r>
      <w:r w:rsidRPr="001A38BF">
        <w:rPr>
          <w:rFonts w:ascii="Barlow" w:hAnsi="Barlow"/>
          <w:b/>
          <w:sz w:val="28"/>
        </w:rPr>
        <w:lastRenderedPageBreak/>
        <w:t>Examples</w:t>
      </w:r>
    </w:p>
    <w:p w14:paraId="6C672BEC" w14:textId="77777777" w:rsidR="00280232" w:rsidRPr="00A50B60" w:rsidRDefault="00280232" w:rsidP="00280232">
      <w:pPr>
        <w:spacing w:after="0" w:line="240" w:lineRule="auto"/>
        <w:rPr>
          <w:sz w:val="24"/>
          <w:szCs w:val="24"/>
        </w:rPr>
      </w:pPr>
    </w:p>
    <w:p w14:paraId="4D0CEE40" w14:textId="77777777" w:rsidR="00280232" w:rsidRPr="00A50B60" w:rsidRDefault="00280232" w:rsidP="00280232">
      <w:pPr>
        <w:spacing w:after="0" w:line="240" w:lineRule="auto"/>
        <w:rPr>
          <w:sz w:val="24"/>
          <w:szCs w:val="24"/>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222"/>
        <w:gridCol w:w="1134"/>
      </w:tblGrid>
      <w:tr w:rsidR="00280232" w:rsidRPr="0048313C" w14:paraId="64EE229C" w14:textId="77777777" w:rsidTr="00195527">
        <w:trPr>
          <w:cantSplit/>
          <w:trHeight w:val="738"/>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1CEE49" w14:textId="77777777" w:rsidR="00280232" w:rsidRPr="0048313C" w:rsidRDefault="00280232" w:rsidP="00195527">
            <w:pPr>
              <w:spacing w:after="0" w:line="240" w:lineRule="auto"/>
              <w:rPr>
                <w:b/>
                <w:color w:val="000000"/>
              </w:rPr>
            </w:pPr>
            <w:proofErr w:type="gramStart"/>
            <w:r>
              <w:rPr>
                <w:b/>
                <w:color w:val="000000"/>
              </w:rPr>
              <w:t xml:space="preserve">1.09  </w:t>
            </w:r>
            <w:r w:rsidRPr="006444F3">
              <w:rPr>
                <w:b/>
                <w:color w:val="000000"/>
              </w:rPr>
              <w:t>How</w:t>
            </w:r>
            <w:proofErr w:type="gramEnd"/>
            <w:r w:rsidRPr="006444F3">
              <w:rPr>
                <w:b/>
                <w:color w:val="000000"/>
              </w:rPr>
              <w:t xml:space="preserve"> does senior management (i.e.</w:t>
            </w:r>
            <w:r>
              <w:rPr>
                <w:b/>
                <w:color w:val="000000"/>
              </w:rPr>
              <w:t>,</w:t>
            </w:r>
            <w:r w:rsidRPr="006444F3">
              <w:rPr>
                <w:b/>
                <w:color w:val="000000"/>
              </w:rPr>
              <w:t xml:space="preserve"> the boss/the owner) communicate to you that health and safety is important? How often?</w:t>
            </w:r>
          </w:p>
        </w:tc>
      </w:tr>
      <w:tr w:rsidR="00280232" w:rsidRPr="004A5E9A" w14:paraId="47DACA84" w14:textId="77777777" w:rsidTr="00195527">
        <w:trPr>
          <w:cantSplit/>
          <w:trHeight w:val="397"/>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B2AE70" w14:textId="77777777" w:rsidR="00280232" w:rsidRPr="004A5E9A" w:rsidRDefault="00280232" w:rsidP="00195527">
            <w:pPr>
              <w:spacing w:after="0" w:line="240" w:lineRule="auto"/>
              <w:rPr>
                <w:i/>
                <w:color w:val="000000"/>
              </w:rPr>
            </w:pPr>
            <w:r w:rsidRPr="004A5E9A">
              <w:rPr>
                <w:rFonts w:cs="Arial"/>
                <w:i/>
                <w:lang w:eastAsia="en-CA"/>
              </w:rPr>
              <w:t xml:space="preserve">Use tick marks or checks to note positive, negative, and N/A </w:t>
            </w:r>
            <w:r>
              <w:rPr>
                <w:rFonts w:cs="Arial"/>
                <w:i/>
                <w:lang w:eastAsia="en-CA"/>
              </w:rPr>
              <w:t>responses</w:t>
            </w:r>
            <w:r w:rsidRPr="004A5E9A">
              <w:rPr>
                <w:rFonts w:cs="Arial"/>
                <w:i/>
                <w:lang w:eastAsia="en-CA"/>
              </w:rPr>
              <w:t>.</w:t>
            </w:r>
          </w:p>
        </w:tc>
      </w:tr>
      <w:tr w:rsidR="00280232" w:rsidRPr="0048313C" w14:paraId="7C0013FB" w14:textId="77777777" w:rsidTr="00195527">
        <w:trPr>
          <w:cantSplit/>
          <w:trHeight w:val="402"/>
        </w:trPr>
        <w:tc>
          <w:tcPr>
            <w:tcW w:w="856" w:type="dxa"/>
            <w:shd w:val="clear" w:color="auto" w:fill="auto"/>
            <w:vAlign w:val="center"/>
          </w:tcPr>
          <w:p w14:paraId="2F97FCE6" w14:textId="77777777" w:rsidR="00280232" w:rsidRPr="0048313C" w:rsidRDefault="00280232" w:rsidP="00195527">
            <w:pPr>
              <w:spacing w:after="0" w:line="240" w:lineRule="auto"/>
              <w:rPr>
                <w:b/>
                <w:i/>
                <w:color w:val="000000"/>
              </w:rPr>
            </w:pPr>
            <w:r w:rsidRPr="0048313C">
              <w:rPr>
                <w:b/>
                <w:i/>
                <w:color w:val="000000"/>
              </w:rPr>
              <w:t>Yes</w:t>
            </w:r>
          </w:p>
        </w:tc>
        <w:tc>
          <w:tcPr>
            <w:tcW w:w="8222" w:type="dxa"/>
            <w:shd w:val="clear" w:color="auto" w:fill="auto"/>
            <w:vAlign w:val="center"/>
          </w:tcPr>
          <w:p w14:paraId="74CDE050" w14:textId="77777777" w:rsidR="00280232" w:rsidRPr="0048313C" w:rsidRDefault="00280232" w:rsidP="00195527">
            <w:pPr>
              <w:spacing w:after="0" w:line="240" w:lineRule="auto"/>
              <w:rPr>
                <w:b/>
                <w:i/>
                <w:color w:val="000000"/>
              </w:rPr>
            </w:pP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color w:val="004F71"/>
              </w:rPr>
              <w:t xml:space="preserve">   </w:t>
            </w:r>
            <w:r w:rsidRPr="00083215">
              <w:rPr>
                <w:b/>
                <w:color w:val="004F71"/>
              </w:rPr>
              <w:sym w:font="Symbol" w:char="F0BD"/>
            </w:r>
            <w:r w:rsidRPr="00083215">
              <w:rPr>
                <w:b/>
                <w:color w:val="004F71"/>
              </w:rPr>
              <w:sym w:font="Symbol" w:char="F0BD"/>
            </w:r>
            <w:r w:rsidRPr="00083215">
              <w:rPr>
                <w:b/>
                <w:color w:val="004F71"/>
              </w:rPr>
              <w:sym w:font="Symbol" w:char="F0BD"/>
            </w:r>
          </w:p>
        </w:tc>
        <w:tc>
          <w:tcPr>
            <w:tcW w:w="1134" w:type="dxa"/>
            <w:shd w:val="clear" w:color="auto" w:fill="auto"/>
            <w:vAlign w:val="center"/>
          </w:tcPr>
          <w:p w14:paraId="19235852"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r>
              <w:rPr>
                <w:rFonts w:ascii="MV Boli" w:hAnsi="MV Boli" w:cs="MV Boli"/>
                <w:color w:val="1F3864" w:themeColor="accent1" w:themeShade="80"/>
                <w:lang w:eastAsia="en-CA"/>
              </w:rPr>
              <w:t>8</w:t>
            </w:r>
          </w:p>
        </w:tc>
      </w:tr>
      <w:tr w:rsidR="00280232" w:rsidRPr="0048313C" w14:paraId="2012D481" w14:textId="77777777" w:rsidTr="00195527">
        <w:trPr>
          <w:cantSplit/>
          <w:trHeight w:val="422"/>
        </w:trPr>
        <w:tc>
          <w:tcPr>
            <w:tcW w:w="856" w:type="dxa"/>
            <w:shd w:val="clear" w:color="auto" w:fill="auto"/>
            <w:vAlign w:val="center"/>
          </w:tcPr>
          <w:p w14:paraId="2A0B8E5A" w14:textId="77777777" w:rsidR="00280232" w:rsidRPr="0048313C" w:rsidRDefault="00280232" w:rsidP="00195527">
            <w:pPr>
              <w:spacing w:after="0" w:line="240" w:lineRule="auto"/>
              <w:rPr>
                <w:b/>
                <w:i/>
                <w:color w:val="000000"/>
              </w:rPr>
            </w:pPr>
            <w:r>
              <w:rPr>
                <w:b/>
                <w:i/>
                <w:color w:val="000000"/>
              </w:rPr>
              <w:t>No</w:t>
            </w:r>
          </w:p>
        </w:tc>
        <w:tc>
          <w:tcPr>
            <w:tcW w:w="8222" w:type="dxa"/>
            <w:shd w:val="clear" w:color="auto" w:fill="auto"/>
            <w:vAlign w:val="center"/>
          </w:tcPr>
          <w:p w14:paraId="1860EA70" w14:textId="77777777" w:rsidR="00280232" w:rsidRPr="0048313C" w:rsidRDefault="00280232" w:rsidP="00195527">
            <w:pPr>
              <w:spacing w:after="0" w:line="240" w:lineRule="auto"/>
              <w:rPr>
                <w:b/>
                <w:i/>
                <w:color w:val="000000"/>
              </w:rPr>
            </w:pPr>
            <w:r w:rsidRPr="00083215">
              <w:rPr>
                <w:b/>
                <w:color w:val="004F71"/>
              </w:rPr>
              <w:sym w:font="Symbol" w:char="F0BD"/>
            </w:r>
          </w:p>
        </w:tc>
        <w:tc>
          <w:tcPr>
            <w:tcW w:w="1134" w:type="dxa"/>
            <w:shd w:val="clear" w:color="auto" w:fill="auto"/>
            <w:vAlign w:val="center"/>
          </w:tcPr>
          <w:p w14:paraId="590E9910"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r>
              <w:rPr>
                <w:rFonts w:ascii="MV Boli" w:hAnsi="MV Boli" w:cs="MV Boli"/>
                <w:color w:val="1F3864" w:themeColor="accent1" w:themeShade="80"/>
                <w:lang w:eastAsia="en-CA"/>
              </w:rPr>
              <w:t>1</w:t>
            </w:r>
          </w:p>
        </w:tc>
      </w:tr>
      <w:tr w:rsidR="00280232" w:rsidRPr="0048313C" w14:paraId="66616D73" w14:textId="77777777" w:rsidTr="00195527">
        <w:trPr>
          <w:cantSplit/>
          <w:trHeight w:val="415"/>
        </w:trPr>
        <w:tc>
          <w:tcPr>
            <w:tcW w:w="856" w:type="dxa"/>
            <w:shd w:val="clear" w:color="auto" w:fill="auto"/>
            <w:vAlign w:val="center"/>
          </w:tcPr>
          <w:p w14:paraId="0D6F1C9A" w14:textId="77777777" w:rsidR="00280232" w:rsidRPr="0048313C" w:rsidRDefault="00280232" w:rsidP="00195527">
            <w:pPr>
              <w:spacing w:after="0" w:line="240" w:lineRule="auto"/>
              <w:rPr>
                <w:b/>
                <w:i/>
                <w:color w:val="000000"/>
              </w:rPr>
            </w:pPr>
            <w:r>
              <w:rPr>
                <w:b/>
                <w:i/>
                <w:color w:val="000000"/>
              </w:rPr>
              <w:t>N/A</w:t>
            </w:r>
          </w:p>
        </w:tc>
        <w:tc>
          <w:tcPr>
            <w:tcW w:w="8222" w:type="dxa"/>
            <w:shd w:val="clear" w:color="auto" w:fill="auto"/>
            <w:vAlign w:val="center"/>
          </w:tcPr>
          <w:p w14:paraId="7AA8FB36" w14:textId="77777777" w:rsidR="00280232" w:rsidRPr="0048313C" w:rsidRDefault="00280232" w:rsidP="00195527">
            <w:pPr>
              <w:spacing w:after="0" w:line="240" w:lineRule="auto"/>
              <w:rPr>
                <w:b/>
                <w:i/>
                <w:color w:val="000000"/>
              </w:rPr>
            </w:pPr>
            <w:r w:rsidRPr="00083215">
              <w:rPr>
                <w:b/>
                <w:color w:val="004F71"/>
              </w:rPr>
              <w:sym w:font="Symbol" w:char="F0BD"/>
            </w:r>
          </w:p>
        </w:tc>
        <w:tc>
          <w:tcPr>
            <w:tcW w:w="1134" w:type="dxa"/>
            <w:shd w:val="clear" w:color="auto" w:fill="auto"/>
            <w:vAlign w:val="center"/>
          </w:tcPr>
          <w:p w14:paraId="3FBA3A75"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r>
              <w:rPr>
                <w:rFonts w:ascii="MV Boli" w:hAnsi="MV Boli" w:cs="MV Boli"/>
                <w:color w:val="1F3864" w:themeColor="accent1" w:themeShade="80"/>
                <w:lang w:eastAsia="en-CA"/>
              </w:rPr>
              <w:t>1</w:t>
            </w:r>
          </w:p>
        </w:tc>
      </w:tr>
      <w:tr w:rsidR="00280232" w:rsidRPr="0048313C" w14:paraId="4E146EAA" w14:textId="77777777" w:rsidTr="00195527">
        <w:trPr>
          <w:cantSplit/>
          <w:trHeight w:val="264"/>
        </w:trPr>
        <w:tc>
          <w:tcPr>
            <w:tcW w:w="9078" w:type="dxa"/>
            <w:gridSpan w:val="2"/>
            <w:shd w:val="clear" w:color="auto" w:fill="auto"/>
            <w:vAlign w:val="center"/>
          </w:tcPr>
          <w:p w14:paraId="42B0B18A" w14:textId="77777777" w:rsidR="00280232" w:rsidRPr="0048313C" w:rsidRDefault="00280232" w:rsidP="00195527">
            <w:pPr>
              <w:spacing w:after="0" w:line="240" w:lineRule="auto"/>
              <w:jc w:val="right"/>
              <w:rPr>
                <w:b/>
                <w:i/>
                <w:color w:val="000000"/>
              </w:rPr>
            </w:pPr>
            <w:r>
              <w:rPr>
                <w:b/>
                <w:i/>
                <w:color w:val="000000"/>
              </w:rPr>
              <w:t>Total</w:t>
            </w:r>
          </w:p>
        </w:tc>
        <w:tc>
          <w:tcPr>
            <w:tcW w:w="1134" w:type="dxa"/>
            <w:shd w:val="clear" w:color="auto" w:fill="auto"/>
            <w:vAlign w:val="center"/>
          </w:tcPr>
          <w:p w14:paraId="0F97D008"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r w:rsidRPr="00DA36BD">
              <w:rPr>
                <w:rFonts w:ascii="MV Boli" w:hAnsi="MV Boli" w:cs="MV Boli"/>
                <w:color w:val="1F3864" w:themeColor="accent1" w:themeShade="80"/>
                <w:lang w:eastAsia="en-CA"/>
              </w:rPr>
              <w:t>10</w:t>
            </w:r>
          </w:p>
        </w:tc>
      </w:tr>
      <w:tr w:rsidR="00280232" w:rsidRPr="0048313C" w14:paraId="666DD684" w14:textId="77777777" w:rsidTr="00195527">
        <w:trPr>
          <w:cantSplit/>
          <w:trHeight w:val="1345"/>
        </w:trPr>
        <w:tc>
          <w:tcPr>
            <w:tcW w:w="10212" w:type="dxa"/>
            <w:gridSpan w:val="3"/>
            <w:shd w:val="clear" w:color="auto" w:fill="auto"/>
            <w:vAlign w:val="center"/>
          </w:tcPr>
          <w:p w14:paraId="00E64C99" w14:textId="77777777" w:rsidR="00280232" w:rsidRDefault="00280232" w:rsidP="00195527">
            <w:pPr>
              <w:pStyle w:val="BodyText"/>
              <w:jc w:val="left"/>
              <w:rPr>
                <w:rFonts w:asciiTheme="minorHAnsi" w:hAnsiTheme="minorHAnsi"/>
                <w:i/>
                <w:color w:val="004F71"/>
              </w:rPr>
            </w:pPr>
            <w:r w:rsidRPr="00A07167">
              <w:rPr>
                <w:rFonts w:asciiTheme="minorHAnsi" w:hAnsiTheme="minorHAnsi"/>
                <w:i/>
                <w:color w:val="004F71"/>
              </w:rPr>
              <w:t>At staff meetings</w:t>
            </w:r>
            <w:r>
              <w:rPr>
                <w:rFonts w:asciiTheme="minorHAnsi" w:hAnsiTheme="minorHAnsi"/>
                <w:i/>
                <w:color w:val="004F71"/>
              </w:rPr>
              <w:t xml:space="preserve"> (monthly)</w:t>
            </w:r>
            <w:r w:rsidRPr="00A07167">
              <w:rPr>
                <w:rFonts w:asciiTheme="minorHAnsi" w:hAnsiTheme="minorHAnsi"/>
                <w:i/>
                <w:color w:val="004F71"/>
              </w:rPr>
              <w:t xml:space="preserve">. </w:t>
            </w:r>
          </w:p>
          <w:p w14:paraId="1E153F15" w14:textId="77777777" w:rsidR="00280232" w:rsidRDefault="00280232" w:rsidP="00195527">
            <w:pPr>
              <w:pStyle w:val="BodyText"/>
              <w:jc w:val="left"/>
              <w:rPr>
                <w:rFonts w:asciiTheme="minorHAnsi" w:hAnsiTheme="minorHAnsi"/>
                <w:i/>
                <w:color w:val="004F71"/>
              </w:rPr>
            </w:pPr>
            <w:r w:rsidRPr="00A07167">
              <w:rPr>
                <w:rFonts w:asciiTheme="minorHAnsi" w:hAnsiTheme="minorHAnsi"/>
                <w:i/>
                <w:color w:val="004F71"/>
              </w:rPr>
              <w:t>Through newsletter. At Christmas luncheon</w:t>
            </w:r>
            <w:r>
              <w:rPr>
                <w:rFonts w:asciiTheme="minorHAnsi" w:hAnsiTheme="minorHAnsi"/>
                <w:i/>
                <w:color w:val="004F71"/>
              </w:rPr>
              <w:t>.</w:t>
            </w:r>
          </w:p>
          <w:p w14:paraId="3021D6A2" w14:textId="77777777" w:rsidR="00280232" w:rsidRDefault="00280232" w:rsidP="00195527">
            <w:pPr>
              <w:pStyle w:val="BodyText"/>
              <w:jc w:val="left"/>
              <w:rPr>
                <w:rFonts w:asciiTheme="minorHAnsi" w:hAnsiTheme="minorHAnsi"/>
                <w:i/>
                <w:color w:val="004F71"/>
              </w:rPr>
            </w:pPr>
            <w:r>
              <w:rPr>
                <w:rFonts w:asciiTheme="minorHAnsi" w:hAnsiTheme="minorHAnsi"/>
                <w:i/>
                <w:color w:val="004F71"/>
              </w:rPr>
              <w:t>A few times a year in the newsletter</w:t>
            </w:r>
          </w:p>
          <w:p w14:paraId="1D33C734" w14:textId="77777777" w:rsidR="00280232" w:rsidRPr="00DA36BD" w:rsidRDefault="00280232" w:rsidP="00195527">
            <w:pPr>
              <w:pStyle w:val="BodyText"/>
              <w:jc w:val="left"/>
              <w:rPr>
                <w:rFonts w:asciiTheme="minorHAnsi" w:hAnsiTheme="minorHAnsi"/>
                <w:i/>
                <w:color w:val="004F71"/>
              </w:rPr>
            </w:pPr>
            <w:r>
              <w:rPr>
                <w:rFonts w:asciiTheme="minorHAnsi" w:hAnsiTheme="minorHAnsi"/>
                <w:i/>
                <w:color w:val="004F71"/>
              </w:rPr>
              <w:t>New – hasn’t seen any communication yet.</w:t>
            </w:r>
          </w:p>
        </w:tc>
      </w:tr>
    </w:tbl>
    <w:p w14:paraId="1ECB6620" w14:textId="77777777" w:rsidR="00280232" w:rsidRPr="00A50B60" w:rsidRDefault="00280232" w:rsidP="00280232">
      <w:pPr>
        <w:spacing w:after="0" w:line="240" w:lineRule="auto"/>
        <w:rPr>
          <w:sz w:val="24"/>
          <w:szCs w:val="24"/>
        </w:rPr>
      </w:pPr>
    </w:p>
    <w:p w14:paraId="7C19A573"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Of the 10 employees interviewed, 8 responded positively, 1 negatively, and 1 was N/A. The positive responses result in a percentage of 80% - entering 80% in the Int. Scoring worksheet for question 1.09 will calculate a score of 10 out of 10.</w:t>
      </w:r>
    </w:p>
    <w:p w14:paraId="7EED2615" w14:textId="77777777" w:rsidR="00280232" w:rsidRPr="00A50B60" w:rsidRDefault="00280232" w:rsidP="00280232">
      <w:pPr>
        <w:spacing w:after="0" w:line="240" w:lineRule="auto"/>
        <w:rPr>
          <w:sz w:val="24"/>
          <w:szCs w:val="24"/>
        </w:rPr>
      </w:pPr>
    </w:p>
    <w:p w14:paraId="6ADAF6D3" w14:textId="77777777" w:rsidR="00280232" w:rsidRDefault="00280232" w:rsidP="00280232">
      <w:pPr>
        <w:spacing w:after="0" w:line="240" w:lineRule="auto"/>
        <w:rPr>
          <w:sz w:val="24"/>
          <w:szCs w:val="24"/>
        </w:rPr>
      </w:pPr>
    </w:p>
    <w:tbl>
      <w:tblPr>
        <w:tblW w:w="102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
        <w:gridCol w:w="8222"/>
        <w:gridCol w:w="1134"/>
      </w:tblGrid>
      <w:tr w:rsidR="00280232" w:rsidRPr="0048313C" w14:paraId="31B0ABAF" w14:textId="77777777" w:rsidTr="00195527">
        <w:trPr>
          <w:cantSplit/>
          <w:trHeight w:val="402"/>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D3BFEF3" w14:textId="77777777" w:rsidR="00280232" w:rsidRPr="0048313C" w:rsidRDefault="00280232" w:rsidP="00195527">
            <w:pPr>
              <w:spacing w:after="0" w:line="240" w:lineRule="auto"/>
              <w:rPr>
                <w:b/>
                <w:color w:val="000000"/>
              </w:rPr>
            </w:pPr>
            <w:proofErr w:type="gramStart"/>
            <w:r>
              <w:rPr>
                <w:rFonts w:cs="Arial"/>
                <w:b/>
                <w:lang w:eastAsia="en-CA"/>
              </w:rPr>
              <w:t xml:space="preserve">1.04  </w:t>
            </w:r>
            <w:r w:rsidRPr="00463BC1">
              <w:rPr>
                <w:rFonts w:cs="Arial"/>
                <w:b/>
                <w:lang w:eastAsia="en-CA"/>
              </w:rPr>
              <w:t>What</w:t>
            </w:r>
            <w:proofErr w:type="gramEnd"/>
            <w:r w:rsidRPr="00463BC1">
              <w:rPr>
                <w:rFonts w:cs="Arial"/>
                <w:b/>
                <w:lang w:eastAsia="en-CA"/>
              </w:rPr>
              <w:t xml:space="preserve"> are some of the key points listed in the Health and Safety Policy?</w:t>
            </w:r>
          </w:p>
        </w:tc>
      </w:tr>
      <w:tr w:rsidR="00280232" w:rsidRPr="004A5E9A" w14:paraId="4D075351" w14:textId="77777777" w:rsidTr="00195527">
        <w:trPr>
          <w:cantSplit/>
          <w:trHeight w:val="397"/>
        </w:trPr>
        <w:tc>
          <w:tcPr>
            <w:tcW w:w="1021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B738B5" w14:textId="77777777" w:rsidR="00280232" w:rsidRPr="004A5E9A" w:rsidRDefault="00280232" w:rsidP="00195527">
            <w:pPr>
              <w:spacing w:after="0" w:line="240" w:lineRule="auto"/>
              <w:rPr>
                <w:i/>
                <w:color w:val="000000"/>
              </w:rPr>
            </w:pPr>
            <w:r w:rsidRPr="004A5E9A">
              <w:rPr>
                <w:rFonts w:cs="Arial"/>
                <w:i/>
                <w:lang w:eastAsia="en-CA"/>
              </w:rPr>
              <w:t xml:space="preserve">Use tick marks or checks to note positive, negative, and N/A </w:t>
            </w:r>
            <w:r>
              <w:rPr>
                <w:rFonts w:cs="Arial"/>
                <w:i/>
                <w:lang w:eastAsia="en-CA"/>
              </w:rPr>
              <w:t>responses</w:t>
            </w:r>
            <w:r w:rsidRPr="004A5E9A">
              <w:rPr>
                <w:rFonts w:cs="Arial"/>
                <w:i/>
                <w:lang w:eastAsia="en-CA"/>
              </w:rPr>
              <w:t>.</w:t>
            </w:r>
          </w:p>
        </w:tc>
      </w:tr>
      <w:tr w:rsidR="00280232" w:rsidRPr="0048313C" w14:paraId="4C956D5A" w14:textId="77777777" w:rsidTr="00195527">
        <w:trPr>
          <w:cantSplit/>
          <w:trHeight w:val="402"/>
        </w:trPr>
        <w:tc>
          <w:tcPr>
            <w:tcW w:w="856" w:type="dxa"/>
            <w:shd w:val="clear" w:color="auto" w:fill="auto"/>
            <w:vAlign w:val="center"/>
          </w:tcPr>
          <w:p w14:paraId="2D1422EB" w14:textId="77777777" w:rsidR="00280232" w:rsidRPr="0048313C" w:rsidRDefault="00280232" w:rsidP="00195527">
            <w:pPr>
              <w:spacing w:after="0" w:line="240" w:lineRule="auto"/>
              <w:rPr>
                <w:b/>
                <w:i/>
                <w:color w:val="000000"/>
              </w:rPr>
            </w:pPr>
            <w:r w:rsidRPr="0048313C">
              <w:rPr>
                <w:b/>
                <w:i/>
                <w:color w:val="000000"/>
              </w:rPr>
              <w:t>Yes</w:t>
            </w:r>
          </w:p>
        </w:tc>
        <w:tc>
          <w:tcPr>
            <w:tcW w:w="8222" w:type="dxa"/>
            <w:shd w:val="clear" w:color="auto" w:fill="auto"/>
            <w:vAlign w:val="center"/>
          </w:tcPr>
          <w:p w14:paraId="788C58B3" w14:textId="77777777" w:rsidR="00280232" w:rsidRPr="0048313C" w:rsidRDefault="00280232" w:rsidP="00195527">
            <w:pPr>
              <w:spacing w:after="0" w:line="240" w:lineRule="auto"/>
              <w:rPr>
                <w:b/>
                <w:i/>
                <w:color w:val="000000"/>
              </w:rPr>
            </w:pP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strike/>
                <w:color w:val="004F71"/>
              </w:rPr>
              <w:sym w:font="Symbol" w:char="F0BD"/>
            </w:r>
            <w:r w:rsidRPr="00083215">
              <w:rPr>
                <w:b/>
                <w:color w:val="004F71"/>
              </w:rPr>
              <w:t xml:space="preserve">   </w:t>
            </w:r>
            <w:r w:rsidRPr="00083215">
              <w:rPr>
                <w:b/>
                <w:color w:val="004F71"/>
              </w:rPr>
              <w:sym w:font="Symbol" w:char="F0BD"/>
            </w:r>
          </w:p>
        </w:tc>
        <w:tc>
          <w:tcPr>
            <w:tcW w:w="1134" w:type="dxa"/>
            <w:shd w:val="clear" w:color="auto" w:fill="auto"/>
            <w:vAlign w:val="center"/>
          </w:tcPr>
          <w:p w14:paraId="3B33C83C"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r w:rsidRPr="00DA36BD">
              <w:rPr>
                <w:rFonts w:ascii="MV Boli" w:hAnsi="MV Boli" w:cs="MV Boli"/>
                <w:color w:val="1F3864" w:themeColor="accent1" w:themeShade="80"/>
                <w:lang w:eastAsia="en-CA"/>
              </w:rPr>
              <w:t>6</w:t>
            </w:r>
          </w:p>
        </w:tc>
      </w:tr>
      <w:tr w:rsidR="00280232" w:rsidRPr="0048313C" w14:paraId="094ED1BE" w14:textId="77777777" w:rsidTr="00195527">
        <w:trPr>
          <w:cantSplit/>
          <w:trHeight w:val="422"/>
        </w:trPr>
        <w:tc>
          <w:tcPr>
            <w:tcW w:w="856" w:type="dxa"/>
            <w:shd w:val="clear" w:color="auto" w:fill="auto"/>
            <w:vAlign w:val="center"/>
          </w:tcPr>
          <w:p w14:paraId="1B910172" w14:textId="77777777" w:rsidR="00280232" w:rsidRPr="0048313C" w:rsidRDefault="00280232" w:rsidP="00195527">
            <w:pPr>
              <w:spacing w:after="0" w:line="240" w:lineRule="auto"/>
              <w:rPr>
                <w:b/>
                <w:i/>
                <w:color w:val="000000"/>
              </w:rPr>
            </w:pPr>
            <w:r>
              <w:rPr>
                <w:b/>
                <w:i/>
                <w:color w:val="000000"/>
              </w:rPr>
              <w:t>No</w:t>
            </w:r>
          </w:p>
        </w:tc>
        <w:tc>
          <w:tcPr>
            <w:tcW w:w="8222" w:type="dxa"/>
            <w:shd w:val="clear" w:color="auto" w:fill="auto"/>
            <w:vAlign w:val="center"/>
          </w:tcPr>
          <w:p w14:paraId="24F12D89" w14:textId="77777777" w:rsidR="00280232" w:rsidRPr="0048313C" w:rsidRDefault="00280232" w:rsidP="00195527">
            <w:pPr>
              <w:spacing w:after="0" w:line="240" w:lineRule="auto"/>
              <w:rPr>
                <w:b/>
                <w:i/>
                <w:color w:val="000000"/>
              </w:rPr>
            </w:pPr>
            <w:r w:rsidRPr="00083215">
              <w:rPr>
                <w:b/>
                <w:color w:val="004F71"/>
              </w:rPr>
              <w:sym w:font="Symbol" w:char="F0BD"/>
            </w:r>
            <w:r w:rsidRPr="00083215">
              <w:rPr>
                <w:b/>
                <w:color w:val="004F71"/>
              </w:rPr>
              <w:sym w:font="Symbol" w:char="F0BD"/>
            </w:r>
            <w:r w:rsidRPr="00083215">
              <w:rPr>
                <w:b/>
                <w:color w:val="004F71"/>
              </w:rPr>
              <w:sym w:font="Symbol" w:char="F0BD"/>
            </w:r>
            <w:r w:rsidRPr="00083215">
              <w:rPr>
                <w:b/>
                <w:color w:val="004F71"/>
              </w:rPr>
              <w:sym w:font="Symbol" w:char="F0BD"/>
            </w:r>
          </w:p>
        </w:tc>
        <w:tc>
          <w:tcPr>
            <w:tcW w:w="1134" w:type="dxa"/>
            <w:shd w:val="clear" w:color="auto" w:fill="auto"/>
            <w:vAlign w:val="center"/>
          </w:tcPr>
          <w:p w14:paraId="536CA04F"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r w:rsidRPr="00DA36BD">
              <w:rPr>
                <w:rFonts w:ascii="MV Boli" w:hAnsi="MV Boli" w:cs="MV Boli"/>
                <w:color w:val="1F3864" w:themeColor="accent1" w:themeShade="80"/>
                <w:lang w:eastAsia="en-CA"/>
              </w:rPr>
              <w:t>4</w:t>
            </w:r>
          </w:p>
        </w:tc>
      </w:tr>
      <w:tr w:rsidR="00280232" w:rsidRPr="0048313C" w14:paraId="1FE18B45" w14:textId="77777777" w:rsidTr="00195527">
        <w:trPr>
          <w:cantSplit/>
          <w:trHeight w:val="415"/>
        </w:trPr>
        <w:tc>
          <w:tcPr>
            <w:tcW w:w="856" w:type="dxa"/>
            <w:shd w:val="clear" w:color="auto" w:fill="auto"/>
            <w:vAlign w:val="center"/>
          </w:tcPr>
          <w:p w14:paraId="2FD10DBD" w14:textId="77777777" w:rsidR="00280232" w:rsidRPr="0048313C" w:rsidRDefault="00280232" w:rsidP="00195527">
            <w:pPr>
              <w:spacing w:after="0" w:line="240" w:lineRule="auto"/>
              <w:rPr>
                <w:b/>
                <w:i/>
                <w:color w:val="000000"/>
              </w:rPr>
            </w:pPr>
            <w:r>
              <w:rPr>
                <w:b/>
                <w:i/>
                <w:color w:val="000000"/>
              </w:rPr>
              <w:t>N/A</w:t>
            </w:r>
          </w:p>
        </w:tc>
        <w:tc>
          <w:tcPr>
            <w:tcW w:w="8222" w:type="dxa"/>
            <w:shd w:val="clear" w:color="auto" w:fill="auto"/>
            <w:vAlign w:val="center"/>
          </w:tcPr>
          <w:p w14:paraId="0208C97B" w14:textId="77777777" w:rsidR="00280232" w:rsidRPr="0048313C" w:rsidRDefault="00280232" w:rsidP="00195527">
            <w:pPr>
              <w:spacing w:after="0" w:line="240" w:lineRule="auto"/>
              <w:rPr>
                <w:b/>
                <w:i/>
                <w:color w:val="000000"/>
              </w:rPr>
            </w:pPr>
          </w:p>
        </w:tc>
        <w:tc>
          <w:tcPr>
            <w:tcW w:w="1134" w:type="dxa"/>
            <w:shd w:val="clear" w:color="auto" w:fill="auto"/>
            <w:vAlign w:val="center"/>
          </w:tcPr>
          <w:p w14:paraId="2626218B"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p>
        </w:tc>
      </w:tr>
      <w:tr w:rsidR="00280232" w:rsidRPr="0048313C" w14:paraId="3E2DA9EE" w14:textId="77777777" w:rsidTr="00195527">
        <w:trPr>
          <w:cantSplit/>
          <w:trHeight w:val="264"/>
        </w:trPr>
        <w:tc>
          <w:tcPr>
            <w:tcW w:w="9078" w:type="dxa"/>
            <w:gridSpan w:val="2"/>
            <w:shd w:val="clear" w:color="auto" w:fill="auto"/>
            <w:vAlign w:val="center"/>
          </w:tcPr>
          <w:p w14:paraId="2AA8A245" w14:textId="77777777" w:rsidR="00280232" w:rsidRPr="0048313C" w:rsidRDefault="00280232" w:rsidP="00195527">
            <w:pPr>
              <w:spacing w:after="0" w:line="240" w:lineRule="auto"/>
              <w:jc w:val="right"/>
              <w:rPr>
                <w:b/>
                <w:i/>
                <w:color w:val="000000"/>
              </w:rPr>
            </w:pPr>
            <w:r>
              <w:rPr>
                <w:b/>
                <w:i/>
                <w:color w:val="000000"/>
              </w:rPr>
              <w:t>Total</w:t>
            </w:r>
          </w:p>
        </w:tc>
        <w:tc>
          <w:tcPr>
            <w:tcW w:w="1134" w:type="dxa"/>
            <w:shd w:val="clear" w:color="auto" w:fill="auto"/>
            <w:vAlign w:val="center"/>
          </w:tcPr>
          <w:p w14:paraId="2266007E" w14:textId="77777777" w:rsidR="00280232" w:rsidRPr="00DA36BD" w:rsidRDefault="00280232" w:rsidP="00195527">
            <w:pPr>
              <w:spacing w:after="0" w:line="240" w:lineRule="auto"/>
              <w:jc w:val="center"/>
              <w:rPr>
                <w:rFonts w:ascii="MV Boli" w:hAnsi="MV Boli" w:cs="MV Boli"/>
                <w:color w:val="1F3864" w:themeColor="accent1" w:themeShade="80"/>
                <w:lang w:eastAsia="en-CA"/>
              </w:rPr>
            </w:pPr>
            <w:r w:rsidRPr="00DA36BD">
              <w:rPr>
                <w:rFonts w:ascii="MV Boli" w:hAnsi="MV Boli" w:cs="MV Boli"/>
                <w:color w:val="1F3864" w:themeColor="accent1" w:themeShade="80"/>
                <w:lang w:eastAsia="en-CA"/>
              </w:rPr>
              <w:t>10</w:t>
            </w:r>
          </w:p>
        </w:tc>
      </w:tr>
      <w:tr w:rsidR="00280232" w:rsidRPr="0048313C" w14:paraId="1530AD53" w14:textId="77777777" w:rsidTr="00195527">
        <w:trPr>
          <w:cantSplit/>
          <w:trHeight w:val="1475"/>
        </w:trPr>
        <w:tc>
          <w:tcPr>
            <w:tcW w:w="10212" w:type="dxa"/>
            <w:gridSpan w:val="3"/>
            <w:shd w:val="clear" w:color="auto" w:fill="auto"/>
            <w:vAlign w:val="center"/>
          </w:tcPr>
          <w:p w14:paraId="78DCE63A" w14:textId="77777777" w:rsidR="00280232" w:rsidRDefault="00280232" w:rsidP="00195527">
            <w:pPr>
              <w:pStyle w:val="BodyText"/>
              <w:jc w:val="left"/>
              <w:rPr>
                <w:rFonts w:asciiTheme="minorHAnsi" w:hAnsiTheme="minorHAnsi"/>
                <w:i/>
                <w:color w:val="004F71"/>
              </w:rPr>
            </w:pPr>
            <w:r w:rsidRPr="00A07167">
              <w:rPr>
                <w:rFonts w:asciiTheme="minorHAnsi" w:hAnsiTheme="minorHAnsi"/>
                <w:i/>
                <w:color w:val="004F71"/>
              </w:rPr>
              <w:t xml:space="preserve">Talks about commitment. </w:t>
            </w:r>
          </w:p>
          <w:p w14:paraId="4D7925F2" w14:textId="77777777" w:rsidR="00280232" w:rsidRDefault="00280232" w:rsidP="00195527">
            <w:pPr>
              <w:pStyle w:val="BodyText"/>
              <w:jc w:val="left"/>
              <w:rPr>
                <w:rFonts w:asciiTheme="minorHAnsi" w:hAnsiTheme="minorHAnsi"/>
                <w:i/>
                <w:color w:val="004F71"/>
              </w:rPr>
            </w:pPr>
            <w:r w:rsidRPr="00A07167">
              <w:rPr>
                <w:rFonts w:asciiTheme="minorHAnsi" w:hAnsiTheme="minorHAnsi"/>
                <w:i/>
                <w:color w:val="004F71"/>
              </w:rPr>
              <w:t>Outlines responsibilities</w:t>
            </w:r>
            <w:r>
              <w:rPr>
                <w:rFonts w:asciiTheme="minorHAnsi" w:hAnsiTheme="minorHAnsi"/>
                <w:i/>
                <w:color w:val="004F71"/>
              </w:rPr>
              <w:t xml:space="preserve"> for different levels (workers, bosses, contractors). </w:t>
            </w:r>
          </w:p>
          <w:p w14:paraId="3BB19DE4" w14:textId="77777777" w:rsidR="00280232" w:rsidRDefault="00280232" w:rsidP="00195527">
            <w:pPr>
              <w:pStyle w:val="BodyText"/>
              <w:jc w:val="left"/>
              <w:rPr>
                <w:rFonts w:asciiTheme="minorHAnsi" w:hAnsiTheme="minorHAnsi"/>
                <w:i/>
                <w:color w:val="004F71"/>
              </w:rPr>
            </w:pPr>
            <w:r>
              <w:rPr>
                <w:rFonts w:asciiTheme="minorHAnsi" w:hAnsiTheme="minorHAnsi"/>
                <w:i/>
                <w:color w:val="004F71"/>
              </w:rPr>
              <w:t xml:space="preserve">Legislation and standards. </w:t>
            </w:r>
          </w:p>
          <w:p w14:paraId="2802F9AA" w14:textId="77777777" w:rsidR="00280232" w:rsidRPr="00DA36BD" w:rsidRDefault="00280232" w:rsidP="00195527">
            <w:pPr>
              <w:pStyle w:val="BodyText"/>
              <w:jc w:val="left"/>
              <w:rPr>
                <w:rFonts w:asciiTheme="minorHAnsi" w:hAnsiTheme="minorHAnsi"/>
                <w:i/>
                <w:color w:val="004F71"/>
              </w:rPr>
            </w:pPr>
            <w:r>
              <w:rPr>
                <w:rFonts w:asciiTheme="minorHAnsi" w:hAnsiTheme="minorHAnsi"/>
                <w:i/>
                <w:color w:val="004F71"/>
              </w:rPr>
              <w:t>Unsure</w:t>
            </w:r>
          </w:p>
        </w:tc>
      </w:tr>
    </w:tbl>
    <w:p w14:paraId="07761655" w14:textId="77777777" w:rsidR="00280232" w:rsidRPr="00A50B60" w:rsidRDefault="00280232" w:rsidP="00280232">
      <w:pPr>
        <w:spacing w:after="0" w:line="240" w:lineRule="auto"/>
        <w:rPr>
          <w:sz w:val="24"/>
          <w:szCs w:val="24"/>
        </w:rPr>
      </w:pPr>
    </w:p>
    <w:p w14:paraId="584371CD" w14:textId="77777777" w:rsidR="00280232" w:rsidRPr="001A38BF" w:rsidRDefault="00280232" w:rsidP="00280232">
      <w:pPr>
        <w:spacing w:after="0" w:line="240" w:lineRule="auto"/>
        <w:rPr>
          <w:rFonts w:ascii="Barlow" w:hAnsi="Barlow"/>
          <w:sz w:val="24"/>
          <w:szCs w:val="24"/>
        </w:rPr>
      </w:pPr>
      <w:r w:rsidRPr="001A38BF">
        <w:rPr>
          <w:rFonts w:ascii="Barlow" w:hAnsi="Barlow"/>
          <w:sz w:val="24"/>
          <w:szCs w:val="24"/>
        </w:rPr>
        <w:t>Of the 10 employees interviewed, 6 responded positively, 3 negatively, and 1 was non-committal. The positive responses result in a percentage of 60% - entering 60% in the Int. Scoring worksheet for question 1.04 will calculate a score of 3 out of 5. This is calculated based on 60% proportion of the 5 available points (5 x 60% = 3).</w:t>
      </w:r>
    </w:p>
    <w:p w14:paraId="3FF24567" w14:textId="03186C00" w:rsidR="00130496" w:rsidRDefault="00130496">
      <w:r>
        <w:br w:type="page"/>
      </w:r>
    </w:p>
    <w:p w14:paraId="0E36E057" w14:textId="77777777" w:rsidR="00130496" w:rsidRPr="00661447" w:rsidRDefault="00130496" w:rsidP="00130496">
      <w:pPr>
        <w:pStyle w:val="Heading2"/>
        <w:rPr>
          <w:rFonts w:ascii="Barlow" w:hAnsi="Barlow"/>
          <w:color w:val="FF3300"/>
          <w:lang w:val="en-US"/>
        </w:rPr>
      </w:pPr>
      <w:bookmarkStart w:id="1" w:name="_Toc125290712"/>
      <w:r w:rsidRPr="00661447">
        <w:rPr>
          <w:rFonts w:ascii="Barlow" w:hAnsi="Barlow"/>
          <w:color w:val="FF3300"/>
          <w:lang w:val="en-US"/>
        </w:rPr>
        <w:lastRenderedPageBreak/>
        <w:t>Interview Scoring</w:t>
      </w:r>
      <w:bookmarkEnd w:id="1"/>
    </w:p>
    <w:p w14:paraId="6A492A0B" w14:textId="77777777" w:rsidR="00130496" w:rsidRDefault="00130496" w:rsidP="00130496">
      <w:pPr>
        <w:rPr>
          <w:lang w:val="en-US"/>
        </w:rPr>
      </w:pPr>
    </w:p>
    <w:p w14:paraId="13DEC9EE" w14:textId="77777777" w:rsidR="00130496" w:rsidRPr="00661447" w:rsidRDefault="00130496" w:rsidP="00130496">
      <w:pPr>
        <w:rPr>
          <w:rFonts w:ascii="Barlow" w:hAnsi="Barlow"/>
          <w:lang w:val="en-US"/>
        </w:rPr>
      </w:pPr>
      <w:r w:rsidRPr="00661447">
        <w:rPr>
          <w:rFonts w:ascii="Barlow" w:hAnsi="Barlow"/>
          <w:lang w:val="en-US"/>
        </w:rPr>
        <w:t xml:space="preserve">Transfer your results (number of positive and negative and N/A responses for each question to the Int. Scoring worksheet in the Excel audit </w:t>
      </w:r>
      <w:r>
        <w:rPr>
          <w:rFonts w:ascii="Barlow" w:hAnsi="Barlow"/>
          <w:lang w:val="en-US"/>
        </w:rPr>
        <w:t>workbook</w:t>
      </w:r>
      <w:r w:rsidRPr="00661447">
        <w:rPr>
          <w:rFonts w:ascii="Barlow" w:hAnsi="Barlow"/>
          <w:lang w:val="en-US"/>
        </w:rPr>
        <w:t xml:space="preserve">. Select “Int. Scoring” as data source at the top of the page. Note that “Int. Record” is utilized as the data source when recording interview results in the </w:t>
      </w:r>
      <w:r>
        <w:rPr>
          <w:rFonts w:ascii="Barlow" w:hAnsi="Barlow"/>
          <w:lang w:val="en-US"/>
        </w:rPr>
        <w:t>Int. Record tab of the audit workbook</w:t>
      </w:r>
      <w:r w:rsidRPr="00661447">
        <w:rPr>
          <w:rFonts w:ascii="Barlow" w:hAnsi="Barlow"/>
          <w:lang w:val="en-US"/>
        </w:rPr>
        <w:t xml:space="preserve">. </w:t>
      </w:r>
    </w:p>
    <w:p w14:paraId="64F57272" w14:textId="77777777" w:rsidR="00130496" w:rsidRPr="00661447" w:rsidRDefault="00130496" w:rsidP="00130496">
      <w:pPr>
        <w:rPr>
          <w:rFonts w:ascii="Barlow" w:hAnsi="Barlow"/>
          <w:lang w:val="en-US"/>
        </w:rPr>
      </w:pPr>
      <w:r w:rsidRPr="00661447">
        <w:rPr>
          <w:rFonts w:ascii="Barlow" w:hAnsi="Barlow"/>
          <w:lang w:val="en-US"/>
        </w:rPr>
        <w:t>The worksheet will look like this:</w:t>
      </w:r>
    </w:p>
    <w:p w14:paraId="37346817" w14:textId="77777777" w:rsidR="00130496" w:rsidRDefault="00130496" w:rsidP="00130496">
      <w:pPr>
        <w:rPr>
          <w:lang w:val="en-US"/>
        </w:rPr>
      </w:pPr>
    </w:p>
    <w:p w14:paraId="7AC88442" w14:textId="09E28FEB" w:rsidR="00130496" w:rsidRDefault="00130496" w:rsidP="00130496">
      <w:pPr>
        <w:rPr>
          <w:lang w:val="en-US"/>
        </w:rPr>
        <w:sectPr w:rsidR="00130496" w:rsidSect="00130496">
          <w:headerReference w:type="default" r:id="rId7"/>
          <w:footerReference w:type="default" r:id="rId8"/>
          <w:pgSz w:w="12240" w:h="15840" w:code="1"/>
          <w:pgMar w:top="567" w:right="851" w:bottom="851" w:left="1134" w:header="709" w:footer="432" w:gutter="0"/>
          <w:cols w:space="708"/>
          <w:docGrid w:linePitch="360"/>
        </w:sectPr>
      </w:pPr>
      <w:r w:rsidRPr="00852660">
        <w:rPr>
          <w:noProof/>
          <w:lang w:val="en-US"/>
        </w:rPr>
        <w:drawing>
          <wp:inline distT="0" distB="0" distL="0" distR="0" wp14:anchorId="7986CA17" wp14:editId="4303C6C5">
            <wp:extent cx="6511925" cy="2169160"/>
            <wp:effectExtent l="0" t="0" r="3175" b="254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9"/>
                    <a:stretch>
                      <a:fillRect/>
                    </a:stretch>
                  </pic:blipFill>
                  <pic:spPr>
                    <a:xfrm>
                      <a:off x="0" y="0"/>
                      <a:ext cx="6511925" cy="2169160"/>
                    </a:xfrm>
                    <a:prstGeom prst="rect">
                      <a:avLst/>
                    </a:prstGeom>
                  </pic:spPr>
                </pic:pic>
              </a:graphicData>
            </a:graphic>
          </wp:inline>
        </w:drawing>
      </w:r>
    </w:p>
    <w:p w14:paraId="5AF3E6EF" w14:textId="77777777" w:rsidR="00BB7009" w:rsidRDefault="00BB7009" w:rsidP="00280232"/>
    <w:sectPr w:rsidR="00BB7009" w:rsidSect="009E5A85">
      <w:headerReference w:type="even" r:id="rId10"/>
      <w:headerReference w:type="default" r:id="rId11"/>
      <w:pgSz w:w="12240" w:h="15840"/>
      <w:pgMar w:top="562" w:right="850" w:bottom="850"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52CB0" w14:textId="77777777" w:rsidR="00EA1485" w:rsidRDefault="00EA1485">
      <w:pPr>
        <w:spacing w:after="0" w:line="240" w:lineRule="auto"/>
      </w:pPr>
      <w:r>
        <w:separator/>
      </w:r>
    </w:p>
  </w:endnote>
  <w:endnote w:type="continuationSeparator" w:id="0">
    <w:p w14:paraId="03EBAF0E" w14:textId="77777777" w:rsidR="00EA1485" w:rsidRDefault="00EA1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V Boli">
    <w:panose1 w:val="02000500030200090000"/>
    <w:charset w:val="00"/>
    <w:family w:val="auto"/>
    <w:pitch w:val="variable"/>
    <w:sig w:usb0="00000003" w:usb1="00000000" w:usb2="000001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861367"/>
      <w:docPartObj>
        <w:docPartGallery w:val="Page Numbers (Bottom of Page)"/>
        <w:docPartUnique/>
      </w:docPartObj>
    </w:sdtPr>
    <w:sdtEndPr>
      <w:rPr>
        <w:noProof/>
      </w:rPr>
    </w:sdtEndPr>
    <w:sdtContent>
      <w:p w14:paraId="1D8D995B" w14:textId="2E0239A1" w:rsidR="00130496" w:rsidRDefault="0013049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26B6B" w14:textId="77777777" w:rsidR="00130496" w:rsidRDefault="001304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BBE4" w14:textId="77777777" w:rsidR="00EA1485" w:rsidRDefault="00EA1485">
      <w:pPr>
        <w:spacing w:after="0" w:line="240" w:lineRule="auto"/>
      </w:pPr>
      <w:r>
        <w:separator/>
      </w:r>
    </w:p>
  </w:footnote>
  <w:footnote w:type="continuationSeparator" w:id="0">
    <w:p w14:paraId="07C0D5E1" w14:textId="77777777" w:rsidR="00EA1485" w:rsidRDefault="00EA14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BFBC1" w14:textId="77777777" w:rsidR="00130496" w:rsidRPr="00220F26" w:rsidRDefault="00130496" w:rsidP="008F4B72">
    <w:pPr>
      <w:pStyle w:val="Header"/>
      <w:tabs>
        <w:tab w:val="clear" w:pos="4680"/>
        <w:tab w:val="clear" w:pos="9360"/>
        <w:tab w:val="right" w:pos="13041"/>
      </w:tabs>
      <w:jc w:val="right"/>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E4B5" w14:textId="77777777" w:rsidR="00777E1A" w:rsidRDefault="00777E1A" w:rsidP="000B5658">
    <w:pPr>
      <w:pStyle w:val="Header"/>
      <w:tabs>
        <w:tab w:val="clear" w:pos="4680"/>
        <w:tab w:val="clear" w:pos="9360"/>
      </w:tabs>
      <w:rPr>
        <w:rFonts w:ascii="Verdana" w:hAnsi="Verdana"/>
        <w:sz w:val="20"/>
        <w:szCs w:val="20"/>
      </w:rPr>
    </w:pPr>
  </w:p>
  <w:p w14:paraId="028EB6F8" w14:textId="77777777" w:rsidR="00777E1A" w:rsidRPr="00602300" w:rsidRDefault="00777E1A" w:rsidP="000B5658">
    <w:pPr>
      <w:pStyle w:val="Header"/>
      <w:tabs>
        <w:tab w:val="clear" w:pos="4680"/>
        <w:tab w:val="clear" w:pos="9360"/>
      </w:tabs>
      <w:rPr>
        <w:rFonts w:ascii="Verdana" w:hAnsi="Verdana"/>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4463E" w14:textId="77777777" w:rsidR="00777E1A" w:rsidRDefault="00000000" w:rsidP="000B5658">
    <w:pPr>
      <w:pStyle w:val="Header"/>
      <w:tabs>
        <w:tab w:val="clear" w:pos="4680"/>
        <w:tab w:val="clear" w:pos="9360"/>
        <w:tab w:val="right" w:pos="13041"/>
      </w:tabs>
      <w:jc w:val="right"/>
      <w:rPr>
        <w:rFonts w:ascii="Verdana" w:hAnsi="Verdana"/>
        <w:sz w:val="20"/>
        <w:szCs w:val="20"/>
      </w:rPr>
    </w:pPr>
    <w:r>
      <w:tab/>
    </w:r>
  </w:p>
  <w:p w14:paraId="23D77957" w14:textId="77777777" w:rsidR="00777E1A" w:rsidRPr="000B5658" w:rsidRDefault="00777E1A" w:rsidP="000B5658">
    <w:pPr>
      <w:pStyle w:val="Header"/>
      <w:tabs>
        <w:tab w:val="clear" w:pos="4680"/>
        <w:tab w:val="clear" w:pos="9360"/>
        <w:tab w:val="right" w:pos="13041"/>
      </w:tabs>
      <w:jc w:val="right"/>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BD1241"/>
    <w:multiLevelType w:val="multilevel"/>
    <w:tmpl w:val="35740E26"/>
    <w:lvl w:ilvl="0">
      <w:start w:val="1"/>
      <w:numFmt w:val="decimal"/>
      <w:lvlText w:val="%1"/>
      <w:lvlJc w:val="left"/>
      <w:pPr>
        <w:ind w:left="1080" w:hanging="720"/>
      </w:pPr>
      <w:rPr>
        <w:rFonts w:hint="default"/>
      </w:rPr>
    </w:lvl>
    <w:lvl w:ilvl="1">
      <w:start w:val="7"/>
      <w:numFmt w:val="decimalZero"/>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11262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467"/>
    <w:rsid w:val="00130496"/>
    <w:rsid w:val="00280232"/>
    <w:rsid w:val="005C3467"/>
    <w:rsid w:val="00777E1A"/>
    <w:rsid w:val="009E5A85"/>
    <w:rsid w:val="00BB7009"/>
    <w:rsid w:val="00EA14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A17F"/>
  <w15:chartTrackingRefBased/>
  <w15:docId w15:val="{7D65EA4D-CCCE-40A6-8F59-1411609B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232"/>
    <w:rPr>
      <w:kern w:val="0"/>
      <w14:ligatures w14:val="none"/>
    </w:rPr>
  </w:style>
  <w:style w:type="paragraph" w:styleId="Heading2">
    <w:name w:val="heading 2"/>
    <w:basedOn w:val="Normal"/>
    <w:next w:val="Normal"/>
    <w:link w:val="Heading2Char"/>
    <w:qFormat/>
    <w:rsid w:val="00280232"/>
    <w:pPr>
      <w:spacing w:after="0"/>
      <w:outlineLvl w:val="1"/>
    </w:pPr>
    <w:rPr>
      <w:b/>
      <w:smallCaps/>
      <w:color w:val="004F7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80232"/>
    <w:rPr>
      <w:b/>
      <w:smallCaps/>
      <w:color w:val="004F71"/>
      <w:kern w:val="0"/>
      <w:sz w:val="32"/>
      <w:szCs w:val="32"/>
      <w14:ligatures w14:val="none"/>
    </w:rPr>
  </w:style>
  <w:style w:type="paragraph" w:styleId="ListParagraph">
    <w:name w:val="List Paragraph"/>
    <w:basedOn w:val="Normal"/>
    <w:uiPriority w:val="34"/>
    <w:qFormat/>
    <w:rsid w:val="00280232"/>
    <w:pPr>
      <w:ind w:left="720"/>
      <w:contextualSpacing/>
    </w:pPr>
  </w:style>
  <w:style w:type="paragraph" w:styleId="BodyText">
    <w:name w:val="Body Text"/>
    <w:basedOn w:val="Normal"/>
    <w:link w:val="BodyTextChar"/>
    <w:rsid w:val="00280232"/>
    <w:pPr>
      <w:spacing w:after="0" w:line="24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280232"/>
    <w:rPr>
      <w:rFonts w:ascii="Times New Roman" w:eastAsia="Times New Roman" w:hAnsi="Times New Roman" w:cs="Times New Roman"/>
      <w:kern w:val="0"/>
      <w:sz w:val="24"/>
      <w:szCs w:val="20"/>
      <w:lang w:val="en-US"/>
      <w14:ligatures w14:val="none"/>
    </w:rPr>
  </w:style>
  <w:style w:type="paragraph" w:styleId="Header">
    <w:name w:val="header"/>
    <w:basedOn w:val="Normal"/>
    <w:link w:val="HeaderChar"/>
    <w:uiPriority w:val="99"/>
    <w:unhideWhenUsed/>
    <w:rsid w:val="002802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232"/>
    <w:rPr>
      <w:kern w:val="0"/>
      <w14:ligatures w14:val="none"/>
    </w:rPr>
  </w:style>
  <w:style w:type="character" w:customStyle="1" w:styleId="TextChar">
    <w:name w:val="Text Char"/>
    <w:basedOn w:val="DefaultParagraphFont"/>
    <w:link w:val="Text"/>
    <w:locked/>
    <w:rsid w:val="00280232"/>
  </w:style>
  <w:style w:type="paragraph" w:customStyle="1" w:styleId="Text">
    <w:name w:val="Text"/>
    <w:basedOn w:val="Normal"/>
    <w:link w:val="TextChar"/>
    <w:qFormat/>
    <w:rsid w:val="00280232"/>
    <w:pPr>
      <w:spacing w:after="0" w:line="240" w:lineRule="auto"/>
    </w:pPr>
    <w:rPr>
      <w:kern w:val="2"/>
      <w14:ligatures w14:val="standardContextual"/>
    </w:rPr>
  </w:style>
  <w:style w:type="paragraph" w:styleId="Footer">
    <w:name w:val="footer"/>
    <w:basedOn w:val="Normal"/>
    <w:link w:val="FooterChar"/>
    <w:uiPriority w:val="99"/>
    <w:unhideWhenUsed/>
    <w:rsid w:val="001304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49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50FF578510C34AA66794B59453D4F9" ma:contentTypeVersion="15" ma:contentTypeDescription="Create a new document." ma:contentTypeScope="" ma:versionID="88af384c1b5c09b80fb83a277d06cd3f">
  <xsd:schema xmlns:xsd="http://www.w3.org/2001/XMLSchema" xmlns:xs="http://www.w3.org/2001/XMLSchema" xmlns:p="http://schemas.microsoft.com/office/2006/metadata/properties" xmlns:ns2="5cc8b706-d201-4088-a85b-3d5a1d0b7601" xmlns:ns3="197cfe5d-2910-4968-987f-08d2e3eb4c51" targetNamespace="http://schemas.microsoft.com/office/2006/metadata/properties" ma:root="true" ma:fieldsID="608fc823fa4a780e47dfe986d759e35d" ns2:_="" ns3:_="">
    <xsd:import namespace="5cc8b706-d201-4088-a85b-3d5a1d0b7601"/>
    <xsd:import namespace="197cfe5d-2910-4968-987f-08d2e3eb4c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8b706-d201-4088-a85b-3d5a1d0b7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ca6aca-9dfd-46fc-997d-917e58570f7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7cfe5d-2910-4968-987f-08d2e3eb4c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8c53963-3be7-447e-a5f0-06bbebf35937}" ma:internalName="TaxCatchAll" ma:showField="CatchAllData" ma:web="197cfe5d-2910-4968-987f-08d2e3eb4c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c8b706-d201-4088-a85b-3d5a1d0b7601">
      <Terms xmlns="http://schemas.microsoft.com/office/infopath/2007/PartnerControls"/>
    </lcf76f155ced4ddcb4097134ff3c332f>
    <TaxCatchAll xmlns="197cfe5d-2910-4968-987f-08d2e3eb4c51" xsi:nil="true"/>
  </documentManagement>
</p:properties>
</file>

<file path=customXml/itemProps1.xml><?xml version="1.0" encoding="utf-8"?>
<ds:datastoreItem xmlns:ds="http://schemas.openxmlformats.org/officeDocument/2006/customXml" ds:itemID="{8F817D40-E5E9-4165-A3F9-E67F61C25FFF}"/>
</file>

<file path=customXml/itemProps2.xml><?xml version="1.0" encoding="utf-8"?>
<ds:datastoreItem xmlns:ds="http://schemas.openxmlformats.org/officeDocument/2006/customXml" ds:itemID="{63C63E4D-7294-4BA0-BA61-25F95EF61952}"/>
</file>

<file path=customXml/itemProps3.xml><?xml version="1.0" encoding="utf-8"?>
<ds:datastoreItem xmlns:ds="http://schemas.openxmlformats.org/officeDocument/2006/customXml" ds:itemID="{D92903AD-BF18-4F7E-B49C-B27E3AF917A1}"/>
</file>

<file path=docProps/app.xml><?xml version="1.0" encoding="utf-8"?>
<Properties xmlns="http://schemas.openxmlformats.org/officeDocument/2006/extended-properties" xmlns:vt="http://schemas.openxmlformats.org/officeDocument/2006/docPropsVTypes">
  <Template>Normal.dotm</Template>
  <TotalTime>1</TotalTime>
  <Pages>4</Pages>
  <Words>592</Words>
  <Characters>3375</Characters>
  <Application>Microsoft Office Word</Application>
  <DocSecurity>0</DocSecurity>
  <Lines>28</Lines>
  <Paragraphs>7</Paragraphs>
  <ScaleCrop>false</ScaleCrop>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Blewett</dc:creator>
  <cp:keywords/>
  <dc:description/>
  <cp:lastModifiedBy>Erica Blewett</cp:lastModifiedBy>
  <cp:revision>4</cp:revision>
  <dcterms:created xsi:type="dcterms:W3CDTF">2023-11-03T20:04:00Z</dcterms:created>
  <dcterms:modified xsi:type="dcterms:W3CDTF">2023-11-03T20:42:00Z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0x0101004B50FF578510C34AA66794B59453D4F9</vt:lpwstr>
  </property>
</Properties>
</file>